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CE" w:rsidRPr="00640564" w:rsidRDefault="004442CE" w:rsidP="004442CE">
      <w:pPr>
        <w:jc w:val="both"/>
        <w:rPr>
          <w:b/>
        </w:rPr>
      </w:pPr>
      <w:bookmarkStart w:id="0" w:name="_GoBack"/>
      <w:bookmarkEnd w:id="0"/>
      <w:r w:rsidRPr="00640564">
        <w:rPr>
          <w:b/>
        </w:rPr>
        <w:t>Пример Списка литературы для статьи, представленной на азербайджанском (или на русском) языке</w:t>
      </w:r>
    </w:p>
    <w:p w:rsidR="004442CE" w:rsidRDefault="004442CE" w:rsidP="004442CE">
      <w:pPr>
        <w:ind w:firstLine="360"/>
        <w:jc w:val="both"/>
      </w:pPr>
    </w:p>
    <w:p w:rsidR="004442CE" w:rsidRDefault="004442CE" w:rsidP="004442CE">
      <w:pPr>
        <w:ind w:firstLine="36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4676"/>
      </w:tblGrid>
      <w:tr w:rsidR="004442CE" w:rsidRPr="007254A3" w:rsidTr="00680459">
        <w:tc>
          <w:tcPr>
            <w:tcW w:w="4816" w:type="dxa"/>
            <w:tcBorders>
              <w:right w:val="single" w:sz="4" w:space="0" w:color="auto"/>
            </w:tcBorders>
            <w:shd w:val="clear" w:color="auto" w:fill="auto"/>
          </w:tcPr>
          <w:p w:rsidR="004442CE" w:rsidRPr="009D25E5" w:rsidRDefault="004442CE" w:rsidP="00680459">
            <w:pPr>
              <w:ind w:right="142"/>
              <w:jc w:val="center"/>
              <w:rPr>
                <w:rFonts w:eastAsia="Calibri"/>
                <w:b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b/>
                <w:sz w:val="18"/>
                <w:szCs w:val="18"/>
                <w:lang w:val="az-Latn-AZ" w:eastAsia="en-US"/>
              </w:rPr>
              <w:t>ƏDƏBİYYAT</w:t>
            </w:r>
          </w:p>
          <w:p w:rsidR="004442CE" w:rsidRPr="009D25E5" w:rsidRDefault="004442CE" w:rsidP="00680459">
            <w:pPr>
              <w:ind w:firstLine="708"/>
              <w:jc w:val="center"/>
              <w:rPr>
                <w:rFonts w:eastAsia="Calibri"/>
                <w:b/>
                <w:sz w:val="18"/>
                <w:szCs w:val="18"/>
                <w:lang w:val="az-Latn-AZ" w:eastAsia="en-US"/>
              </w:rPr>
            </w:pP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Azər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bay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can Res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pub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 əha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nin si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ya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hı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yaa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lın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sı. 2009-cu il. XIX cild</w:t>
            </w:r>
            <w:r w:rsidRPr="009D25E5">
              <w:rPr>
                <w:rFonts w:eastAsia="Calibri"/>
                <w:i/>
                <w:sz w:val="18"/>
                <w:szCs w:val="18"/>
                <w:lang w:val="az-Latn-AZ" w:eastAsia="en-US"/>
              </w:rPr>
              <w:t>,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 xml:space="preserve"> 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2011, 820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Azər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bay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can Res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pub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konst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ruk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tiv coğ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fi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ya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sı. (Bu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ğov B.Ə. re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dak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tə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si al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tın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da). 3 cild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də, III cild, Av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pa</w:t>
            </w:r>
            <w:r w:rsidRPr="009D25E5">
              <w:rPr>
                <w:rFonts w:eastAsia="Calibri"/>
                <w:i/>
                <w:sz w:val="18"/>
                <w:szCs w:val="18"/>
                <w:lang w:val="az-Latn-AZ" w:eastAsia="en-US"/>
              </w:rPr>
              <w:t xml:space="preserve">. 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2003, 256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Ib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hi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mov T.O. Land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şaft təd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qi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qat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 və on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rın eko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ji prob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lem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ri. Elm. 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2015, 384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Qə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bov Y.Ə. Azər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bay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can Res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pub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müa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sir land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şaft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ant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gen trans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for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ya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sı. Mars Print. 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2011, 299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Qə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bov Y.Ə. Azər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bay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can Rеspub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 tə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bii land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şaft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op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ti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laş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sı. Az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TU mət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əsi. 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2012, 216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Məm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dov Q.Ş. Tor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paq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şü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nas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lıq və tor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paq coğ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fi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ya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əsas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rı. Elm. 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2007,  660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Məm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dov R.M. Azər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bay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can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da land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şaft plan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laş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 (ilk təc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rü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bə və tət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biq). 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2009, 142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Na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zo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va S.N. Xı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zı in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zi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ti ra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yo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nu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nun da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vam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lı in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fı və land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şaft plan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laş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qiy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mət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lən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ril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si. Pe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da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qo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ji Uni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ver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tet Xə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bər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ri, tə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ət elm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ri böl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si</w:t>
            </w:r>
            <w:r w:rsidRPr="009D25E5">
              <w:rPr>
                <w:rFonts w:eastAsia="Calibri"/>
                <w:i/>
                <w:sz w:val="18"/>
                <w:szCs w:val="18"/>
                <w:lang w:val="az-Latn-AZ" w:eastAsia="en-US"/>
              </w:rPr>
              <w:t>,</w:t>
            </w:r>
            <w:r w:rsidRPr="004442CE">
              <w:rPr>
                <w:rFonts w:eastAsia="Calibri"/>
                <w:sz w:val="18"/>
                <w:szCs w:val="18"/>
                <w:shd w:val="clear" w:color="auto" w:fill="FFFFFF"/>
                <w:lang w:val="az-Latn-AZ" w:eastAsia="en-US"/>
              </w:rPr>
              <w:t xml:space="preserve"> No.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 xml:space="preserve"> 4,  2014, s. 70-72.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az-Latn-AZ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>Sü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ley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ma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nov M.Ə. Azər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bay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ca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tə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bii və ant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po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gen land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şaft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nın coğ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fi qa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nu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uy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ğun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luq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rı. Əbi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lov, Zey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na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lov və oğul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la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rı. Ba</w:t>
            </w: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softHyphen/>
              <w:t>kı, 2005, 248 s.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D25E5">
              <w:rPr>
                <w:rFonts w:eastAsia="Calibri"/>
                <w:sz w:val="18"/>
                <w:szCs w:val="18"/>
                <w:lang w:val="az-Latn-AZ" w:eastAsia="en-US"/>
              </w:rPr>
              <w:t xml:space="preserve">Ализаде Э.К., Тарихазер С.А. Экзоморфодинамика рельефа гор и ее оценка.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Victory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>. Баку, 2016, 236 c.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Будагов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Б.А. Современные естественные ландшафты Азербайджанской ССР.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Элм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>. Баку, 1988, 135 с.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D25E5">
              <w:rPr>
                <w:rFonts w:eastAsia="Calibri"/>
                <w:sz w:val="18"/>
                <w:szCs w:val="18"/>
                <w:lang w:eastAsia="en-US"/>
              </w:rPr>
              <w:t>Казаков Л.К. Ландшафтоведение (природные и антропогенные ландшафты). МНЭПУ. Москва, 2004, 264 с.</w:t>
            </w:r>
          </w:p>
          <w:p w:rsidR="004442CE" w:rsidRPr="009D25E5" w:rsidRDefault="004442CE" w:rsidP="00680459">
            <w:pPr>
              <w:ind w:left="284" w:right="142" w:hanging="284"/>
              <w:jc w:val="both"/>
              <w:rPr>
                <w:rFonts w:eastAsia="Calibri"/>
                <w:spacing w:val="-4"/>
                <w:sz w:val="22"/>
                <w:szCs w:val="22"/>
                <w:lang w:eastAsia="en-US"/>
              </w:rPr>
            </w:pPr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Миллер Г.П. Ландшафтные исследования горных и предгорных территорий.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Вища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школа. Львов, 1974, 202 с.</w:t>
            </w:r>
          </w:p>
        </w:tc>
        <w:tc>
          <w:tcPr>
            <w:tcW w:w="4822" w:type="dxa"/>
            <w:tcBorders>
              <w:left w:val="single" w:sz="4" w:space="0" w:color="auto"/>
            </w:tcBorders>
            <w:shd w:val="clear" w:color="auto" w:fill="auto"/>
          </w:tcPr>
          <w:p w:rsidR="004442CE" w:rsidRPr="009D25E5" w:rsidRDefault="004442CE" w:rsidP="00680459">
            <w:pPr>
              <w:ind w:left="426" w:hanging="284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b/>
                <w:sz w:val="18"/>
                <w:szCs w:val="18"/>
                <w:lang w:val="en-US" w:eastAsia="en-US"/>
              </w:rPr>
              <w:t>REFERENCES</w:t>
            </w:r>
          </w:p>
          <w:p w:rsidR="004442CE" w:rsidRPr="009D25E5" w:rsidRDefault="004442CE" w:rsidP="00680459">
            <w:pPr>
              <w:ind w:left="426" w:hanging="284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pacing w:val="-6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>Alizade</w:t>
            </w:r>
            <w:proofErr w:type="spellEnd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 xml:space="preserve"> E.K., </w:t>
            </w:r>
            <w:proofErr w:type="spellStart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>Tarikhazer</w:t>
            </w:r>
            <w:proofErr w:type="spellEnd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 xml:space="preserve"> S.A. </w:t>
            </w:r>
            <w:proofErr w:type="spellStart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>Exomorphodynamics</w:t>
            </w:r>
            <w:proofErr w:type="spellEnd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 xml:space="preserve"> of mountain relief and its estimation. Victory. Baku, 2016, 236 p. (in Russian).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Budagov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B.A. Modern natural landscapes of the Azerbaijan SSR. Elm. Baku, 1988, 135 p. (in Russian).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Census of the population of the Republic of Azerbaijan, 2009. Vol. 19. Baku, 2011, 820 p. (in Azerbaijani).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Constructive geography of the Republic of Azerbaijan (edited by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B.A.Budagov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). In three volumes. Vol. 3.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Avropa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 Baku, 2003, 256 p. (in Azerbaijani).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Garibov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Y.A. Anthropogenic transformation of modern landscapes in Azerbaijan Republic. Mars print. Baku, 2011, 299 p. (in Azerbaijani).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Garibov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Y.A. Optimization of natural landscapes in Azerbaijan Republic. Printing house of ATU. Baku, 2012, 216 p. (in Azerbaijani).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Ibrahimov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T.O. Landscape studies and their ecological problems. Elm. Baku, 2015, 384 p. (in Azerbaijani).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pacing w:val="-6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>Kazakov</w:t>
            </w:r>
            <w:proofErr w:type="spellEnd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 xml:space="preserve"> L.K. Landscape science (natural and anthropogenic landscapes). Academy MNEPU. Moscow, 2004, 264 p. (in Russian).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Mammadov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G.Sh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 Fundamentals of soil science and soil geography. Elm. Baku, 2007, 660 p. (in Azerbaijani).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pacing w:val="-6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>Mammadov</w:t>
            </w:r>
            <w:proofErr w:type="spellEnd"/>
            <w:r w:rsidRPr="009D25E5">
              <w:rPr>
                <w:rFonts w:eastAsia="Calibri"/>
                <w:spacing w:val="-6"/>
                <w:sz w:val="18"/>
                <w:szCs w:val="18"/>
                <w:lang w:val="en-US" w:eastAsia="en-US"/>
              </w:rPr>
              <w:t xml:space="preserve"> R.M. Landscape planning in Azerbaijan (first experience and application). Baku, 2009, 142 p. (in Azerbaijani).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Miller G.P. Landscape studies of the mountain and foothill areas.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Vishcha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shkola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Lviv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, 1974, 202 p. (in Russian).</w:t>
            </w:r>
          </w:p>
          <w:p w:rsidR="004442CE" w:rsidRPr="009D25E5" w:rsidRDefault="004442CE" w:rsidP="00680459">
            <w:pPr>
              <w:tabs>
                <w:tab w:val="left" w:pos="720"/>
              </w:tabs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Namazova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S.N. Assessment of sustainable development and landscape planning of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Khyzi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administrative district. Proceedings of Pedagogical University, series of natural sciences, </w:t>
            </w: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No.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4, 2014, pp. 70-72 (in Azerbaijani).</w:t>
            </w:r>
          </w:p>
          <w:p w:rsidR="004442CE" w:rsidRPr="009D25E5" w:rsidRDefault="004442CE" w:rsidP="00680459">
            <w:pPr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Suleymanov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M.A. Geographical laws of natural and anthropogenic landscapes of Azerbaijan.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Abilov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Zeynalov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ve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ogullari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 Baku, 2005, 248 p. (in Azerbaijani)</w:t>
            </w:r>
          </w:p>
        </w:tc>
      </w:tr>
    </w:tbl>
    <w:p w:rsidR="004442CE" w:rsidRPr="007254A3" w:rsidRDefault="004442CE" w:rsidP="004442CE">
      <w:pPr>
        <w:contextualSpacing/>
        <w:jc w:val="center"/>
        <w:rPr>
          <w:rFonts w:eastAsia="Calibri"/>
          <w:b/>
          <w:color w:val="000000"/>
          <w:sz w:val="18"/>
          <w:szCs w:val="18"/>
          <w:lang w:val="en-US"/>
        </w:rPr>
      </w:pPr>
    </w:p>
    <w:p w:rsidR="004442CE" w:rsidRDefault="004442CE" w:rsidP="004442CE">
      <w:pPr>
        <w:ind w:firstLine="360"/>
        <w:jc w:val="both"/>
      </w:pPr>
    </w:p>
    <w:p w:rsidR="00C1206D" w:rsidRDefault="00C1206D"/>
    <w:sectPr w:rsidR="00C1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CE"/>
    <w:rsid w:val="004442CE"/>
    <w:rsid w:val="00C1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C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C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2964</Characters>
  <Application>Microsoft Office Word</Application>
  <DocSecurity>0</DocSecurity>
  <Lines>24</Lines>
  <Paragraphs>6</Paragraphs>
  <ScaleCrop>false</ScaleCrop>
  <Company>CtrlSoft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Tofiq</dc:creator>
  <cp:lastModifiedBy>Tofiq</cp:lastModifiedBy>
  <cp:revision>1</cp:revision>
  <dcterms:created xsi:type="dcterms:W3CDTF">2022-04-05T17:45:00Z</dcterms:created>
  <dcterms:modified xsi:type="dcterms:W3CDTF">2022-04-05T17:46:00Z</dcterms:modified>
</cp:coreProperties>
</file>